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September 29,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Honors Humanities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u w:val="single"/>
          <w:rtl w:val="0"/>
        </w:rPr>
        <w:t xml:space="preserve">Parents and What They’re Owed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ab/>
        <w:t xml:space="preserve">In order to continue talking about the relationship between Chris and his parents, it is worth taking a step back to ask about the nature of the relationship between parents and children. Tonight, write in response to the question, “What do children owe their parents?” I understand, Daryl, that different people have different beliefs. I am asking what </w:t>
      </w: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your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beliefs are. If possible, your beliefs should contain reasons deeper than “that’s just the way I was raised.” If you are confused, please email, message, call, or communicate with me via passenger pigeon.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 - ITW parents owed.docx</dc:title>
</cp:coreProperties>
</file>